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1"/>
          <w:szCs w:val="21"/>
        </w:rPr>
      </w:pPr>
      <w:bookmarkStart w:id="0" w:name="_GoBack"/>
      <w:r>
        <w:rPr>
          <w:rFonts w:hint="eastAsia" w:ascii="宋体" w:hAnsi="宋体" w:eastAsia="宋体" w:cs="宋体"/>
          <w:b/>
          <w:i w:val="0"/>
          <w:caps w:val="0"/>
          <w:color w:val="000000"/>
          <w:spacing w:val="0"/>
          <w:sz w:val="44"/>
          <w:szCs w:val="44"/>
          <w:shd w:val="clear" w:fill="FFFFFF"/>
        </w:rPr>
        <w:t>汉口学院教师科研工作考核办法（修订）</w:t>
      </w:r>
    </w:p>
    <w:bookmarkEnd w:id="0"/>
    <w:p>
      <w:pPr>
        <w:pStyle w:val="2"/>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155" w:right="0" w:firstLine="60"/>
        <w:jc w:val="both"/>
        <w:rPr>
          <w:rFonts w:hint="default" w:ascii="Times New Roman" w:hAnsi="Times New Roman" w:cs="Times New Roman"/>
          <w:i w:val="0"/>
          <w:caps w:val="0"/>
          <w:color w:val="000000"/>
          <w:spacing w:val="0"/>
          <w:sz w:val="21"/>
          <w:szCs w:val="21"/>
        </w:rPr>
      </w:pPr>
      <w:r>
        <w:rPr>
          <w:rFonts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rPr>
        <w:t> 为了充分调动我校教师参加科研工作的积极性，提高学校师资队伍的学术水平，促进学校科研工作的发展，结合学校实际，特修订本办法。</w:t>
      </w:r>
    </w:p>
    <w:p>
      <w:pPr>
        <w:pStyle w:val="2"/>
        <w:keepNext w:val="0"/>
        <w:keepLines w:val="0"/>
        <w:widowControl/>
        <w:suppressLineNumbers w:val="0"/>
        <w:shd w:val="clear" w:fill="FFFFFF"/>
        <w:spacing w:before="0" w:beforeAutospacing="0" w:after="0" w:afterAutospacing="0"/>
        <w:ind w:left="155" w:right="0" w:firstLine="691"/>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一、科研工作考核对象及周期</w:t>
      </w:r>
    </w:p>
    <w:p>
      <w:pPr>
        <w:pStyle w:val="2"/>
        <w:keepNext w:val="0"/>
        <w:keepLines w:val="0"/>
        <w:widowControl/>
        <w:suppressLineNumbers w:val="0"/>
        <w:shd w:val="clear" w:fill="FFFFFF"/>
        <w:spacing w:before="0" w:beforeAutospacing="0" w:after="0" w:afterAutospacing="0"/>
        <w:ind w:left="155" w:right="0" w:firstLine="6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在编七个月以上的全体专职教师。教师考核周期为1年。</w:t>
      </w:r>
    </w:p>
    <w:p>
      <w:pPr>
        <w:pStyle w:val="2"/>
        <w:keepNext w:val="0"/>
        <w:keepLines w:val="0"/>
        <w:widowControl/>
        <w:suppressLineNumbers w:val="0"/>
        <w:shd w:val="clear" w:fill="FFFFFF"/>
        <w:spacing w:before="0" w:beforeAutospacing="0" w:after="0" w:afterAutospacing="0"/>
        <w:ind w:left="155" w:right="0" w:firstLine="691"/>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二、各类科研工作的量化计分方法</w:t>
      </w:r>
    </w:p>
    <w:p>
      <w:pPr>
        <w:pStyle w:val="2"/>
        <w:keepNext w:val="0"/>
        <w:keepLines w:val="0"/>
        <w:widowControl/>
        <w:suppressLineNumbers w:val="0"/>
        <w:shd w:val="clear" w:fill="FFFFFF"/>
        <w:spacing w:before="0" w:beforeAutospacing="0" w:after="0" w:afterAutospacing="0"/>
        <w:ind w:left="155" w:right="0" w:firstLine="60"/>
        <w:jc w:val="left"/>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根据我校科研工作的实际情况，我校教师科研工作按“科研项目到账经费”、“科研项目立项”、“发表学术论文”、“出版学术专著”、“出版教材”、“科研获奖”、“专利与软件著作权”、“科研基地和平台建设”、“艺术创作作品”、“社会服务成果”、“产学研技术孵化”、“创新创业项目”等分别进行量化计分。量化计分的具体计算方法见附件1“教师年度科研工作考核细则”和附件2“教师指导学生竞赛类别”。</w:t>
      </w:r>
    </w:p>
    <w:p>
      <w:pPr>
        <w:pStyle w:val="2"/>
        <w:keepNext w:val="0"/>
        <w:keepLines w:val="0"/>
        <w:widowControl/>
        <w:suppressLineNumbers w:val="0"/>
        <w:shd w:val="clear" w:fill="FFFFFF"/>
        <w:spacing w:before="0" w:beforeAutospacing="0" w:after="0" w:afterAutospacing="0"/>
        <w:ind w:left="155" w:right="0" w:firstLine="691"/>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三、教师科研工作考核合格标准</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本校教师应当积极参加科研工作，完成相应的科研工作量，参与科研工作考核，不同职称的教师科研考核合格分数和科研经费到账合格金额按表1进行考核。学院课部（以下简称“院部”）按加权科研均分和科研经费任务完成情况进行考核和排名；在计算院部的加权科研均分时，不同职称的教师按表2进行折算。</w:t>
      </w:r>
    </w:p>
    <w:p>
      <w:pPr>
        <w:pStyle w:val="2"/>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表1. 不同职称的教师科研考核合格分数和科研经费到账合格金额</w:t>
      </w:r>
    </w:p>
    <w:tbl>
      <w:tblPr>
        <w:tblW w:w="0" w:type="auto"/>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889"/>
        <w:gridCol w:w="971"/>
        <w:gridCol w:w="1397"/>
        <w:gridCol w:w="1445"/>
        <w:gridCol w:w="16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71" w:hRule="atLeast"/>
        </w:trPr>
        <w:tc>
          <w:tcPr>
            <w:tcW w:w="4398" w:type="dxa"/>
            <w:gridSpan w:val="2"/>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32"/>
                <w:szCs w:val="32"/>
                <w:bdr w:val="none" w:color="auto" w:sz="0" w:space="0"/>
              </w:rPr>
              <w:t>教师科研合格分数</w:t>
            </w:r>
          </w:p>
        </w:tc>
        <w:tc>
          <w:tcPr>
            <w:tcW w:w="5058" w:type="dxa"/>
            <w:gridSpan w:val="3"/>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b/>
                <w:i w:val="0"/>
                <w:caps w:val="0"/>
                <w:color w:val="000000"/>
                <w:spacing w:val="0"/>
                <w:sz w:val="32"/>
                <w:szCs w:val="32"/>
                <w:bdr w:val="none" w:color="auto" w:sz="0" w:space="0"/>
              </w:rPr>
              <w:t>教师科研经费到账合格金额（万元）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0" w:hRule="atLeast"/>
        </w:trPr>
        <w:tc>
          <w:tcPr>
            <w:tcW w:w="33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1"/>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32"/>
                <w:szCs w:val="32"/>
                <w:bdr w:val="none" w:color="auto" w:sz="0" w:space="0"/>
              </w:rPr>
              <w:t>教师职称</w:t>
            </w:r>
          </w:p>
        </w:tc>
        <w:tc>
          <w:tcPr>
            <w:tcW w:w="10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32"/>
                <w:szCs w:val="32"/>
                <w:bdr w:val="none" w:color="auto" w:sz="0" w:space="0"/>
              </w:rPr>
              <w:t>合格</w:t>
            </w:r>
          </w:p>
        </w:tc>
        <w:tc>
          <w:tcPr>
            <w:tcW w:w="15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32"/>
                <w:szCs w:val="32"/>
                <w:bdr w:val="none" w:color="auto" w:sz="0" w:space="0"/>
              </w:rPr>
              <w:t>工科</w:t>
            </w:r>
          </w:p>
        </w:tc>
        <w:tc>
          <w:tcPr>
            <w:tcW w:w="162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32"/>
                <w:szCs w:val="32"/>
                <w:bdr w:val="none" w:color="auto" w:sz="0" w:space="0"/>
              </w:rPr>
              <w:t>管科</w:t>
            </w:r>
          </w:p>
        </w:tc>
        <w:tc>
          <w:tcPr>
            <w:tcW w:w="187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b/>
                <w:i w:val="0"/>
                <w:caps w:val="0"/>
                <w:color w:val="000000"/>
                <w:spacing w:val="0"/>
                <w:sz w:val="32"/>
                <w:szCs w:val="32"/>
                <w:bdr w:val="none" w:color="auto" w:sz="0" w:space="0"/>
              </w:rPr>
              <w:t>文科（含艺术、体育）</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839" w:hRule="atLeast"/>
        </w:trPr>
        <w:tc>
          <w:tcPr>
            <w:tcW w:w="33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初级职称</w:t>
            </w:r>
          </w:p>
        </w:tc>
        <w:tc>
          <w:tcPr>
            <w:tcW w:w="10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30</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1.2</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0.8</w:t>
            </w:r>
          </w:p>
        </w:tc>
        <w:tc>
          <w:tcPr>
            <w:tcW w:w="1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0.6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29" w:hRule="atLeast"/>
        </w:trPr>
        <w:tc>
          <w:tcPr>
            <w:tcW w:w="33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中级职称</w:t>
            </w:r>
          </w:p>
        </w:tc>
        <w:tc>
          <w:tcPr>
            <w:tcW w:w="10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60</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2.4</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1.6</w:t>
            </w:r>
          </w:p>
        </w:tc>
        <w:tc>
          <w:tcPr>
            <w:tcW w:w="1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40" w:hRule="atLeast"/>
        </w:trPr>
        <w:tc>
          <w:tcPr>
            <w:tcW w:w="33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副高职称（包含博士）</w:t>
            </w:r>
          </w:p>
        </w:tc>
        <w:tc>
          <w:tcPr>
            <w:tcW w:w="10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90</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3.6</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2.4</w:t>
            </w:r>
          </w:p>
        </w:tc>
        <w:tc>
          <w:tcPr>
            <w:tcW w:w="1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774" w:hRule="atLeast"/>
        </w:trPr>
        <w:tc>
          <w:tcPr>
            <w:tcW w:w="336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正高职称</w:t>
            </w:r>
          </w:p>
        </w:tc>
        <w:tc>
          <w:tcPr>
            <w:tcW w:w="103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120</w:t>
            </w:r>
          </w:p>
        </w:tc>
        <w:tc>
          <w:tcPr>
            <w:tcW w:w="15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4.8</w:t>
            </w:r>
          </w:p>
        </w:tc>
        <w:tc>
          <w:tcPr>
            <w:tcW w:w="16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3.2</w:t>
            </w:r>
          </w:p>
        </w:tc>
        <w:tc>
          <w:tcPr>
            <w:tcW w:w="187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2.4</w:t>
            </w:r>
          </w:p>
        </w:tc>
      </w:tr>
    </w:tbl>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表2. 不同职称的教师折算人数</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239"/>
        <w:gridCol w:w="225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423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1"/>
              <w:jc w:val="both"/>
              <w:rPr>
                <w:rFonts w:hint="default" w:ascii="Times New Roman" w:hAnsi="Times New Roman" w:cs="Times New Roman"/>
                <w:sz w:val="21"/>
                <w:szCs w:val="21"/>
              </w:rPr>
            </w:pPr>
            <w:r>
              <w:rPr>
                <w:rFonts w:hint="eastAsia" w:ascii="仿宋" w:hAnsi="仿宋" w:eastAsia="仿宋" w:cs="仿宋"/>
                <w:b/>
                <w:sz w:val="32"/>
                <w:szCs w:val="32"/>
                <w:bdr w:val="none" w:color="auto" w:sz="0" w:space="0"/>
              </w:rPr>
              <w:t>教师职称</w:t>
            </w:r>
          </w:p>
        </w:tc>
        <w:tc>
          <w:tcPr>
            <w:tcW w:w="225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1"/>
              <w:jc w:val="center"/>
              <w:rPr>
                <w:rFonts w:hint="default" w:ascii="Times New Roman" w:hAnsi="Times New Roman" w:cs="Times New Roman"/>
                <w:sz w:val="21"/>
                <w:szCs w:val="21"/>
              </w:rPr>
            </w:pPr>
            <w:r>
              <w:rPr>
                <w:rFonts w:hint="eastAsia" w:ascii="仿宋" w:hAnsi="仿宋" w:eastAsia="仿宋" w:cs="仿宋"/>
                <w:b/>
                <w:sz w:val="32"/>
                <w:szCs w:val="32"/>
                <w:bdr w:val="none" w:color="auto" w:sz="0" w:space="0"/>
              </w:rPr>
              <w:t>折算人数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42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初级职称</w:t>
            </w:r>
          </w:p>
        </w:tc>
        <w:tc>
          <w:tcPr>
            <w:tcW w:w="22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42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中级职称</w:t>
            </w:r>
          </w:p>
        </w:tc>
        <w:tc>
          <w:tcPr>
            <w:tcW w:w="22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42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副高职称（包含博士）</w:t>
            </w:r>
          </w:p>
        </w:tc>
        <w:tc>
          <w:tcPr>
            <w:tcW w:w="22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jc w:val="center"/>
        </w:trPr>
        <w:tc>
          <w:tcPr>
            <w:tcW w:w="423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正高职称</w:t>
            </w:r>
          </w:p>
        </w:tc>
        <w:tc>
          <w:tcPr>
            <w:tcW w:w="22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5" w:right="0" w:firstLine="6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4</w:t>
            </w:r>
          </w:p>
        </w:tc>
      </w:tr>
    </w:tbl>
    <w:p>
      <w:pPr>
        <w:pStyle w:val="2"/>
        <w:keepNext w:val="0"/>
        <w:keepLines w:val="0"/>
        <w:widowControl/>
        <w:suppressLineNumbers w:val="0"/>
        <w:shd w:val="clear" w:fill="FFFFFF"/>
        <w:spacing w:before="0" w:beforeAutospacing="0" w:after="0" w:afterAutospacing="0"/>
        <w:ind w:left="155" w:right="0" w:firstLine="691"/>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四、教师科研工作年度考核奖惩措施</w:t>
      </w:r>
    </w:p>
    <w:p>
      <w:pPr>
        <w:pStyle w:val="2"/>
        <w:keepNext w:val="0"/>
        <w:keepLines w:val="0"/>
        <w:widowControl/>
        <w:suppressLineNumbers w:val="0"/>
        <w:shd w:val="clear" w:fill="FFFFFF"/>
        <w:spacing w:before="0" w:beforeAutospacing="0" w:after="0" w:afterAutospacing="0"/>
        <w:ind w:left="155" w:right="0" w:firstLine="6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对于科研工作年度考核计分领先的单位和个人进行表彰；对于科研工作年度考核计分不合格的教师将依照学校相关规定处理。</w:t>
      </w:r>
    </w:p>
    <w:p>
      <w:pPr>
        <w:pStyle w:val="2"/>
        <w:keepNext w:val="0"/>
        <w:keepLines w:val="0"/>
        <w:widowControl/>
        <w:suppressLineNumbers w:val="0"/>
        <w:shd w:val="clear" w:fill="FFFFFF"/>
        <w:spacing w:before="0" w:beforeAutospacing="0" w:after="0" w:afterAutospacing="0"/>
        <w:ind w:left="155" w:right="0" w:firstLine="691"/>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五、教师科研工作考核的填报与统计</w:t>
      </w:r>
    </w:p>
    <w:p>
      <w:pPr>
        <w:pStyle w:val="2"/>
        <w:keepNext w:val="0"/>
        <w:keepLines w:val="0"/>
        <w:widowControl/>
        <w:suppressLineNumbers w:val="0"/>
        <w:shd w:val="clear" w:fill="FFFFFF"/>
        <w:spacing w:before="0" w:beforeAutospacing="0" w:after="0" w:afterAutospacing="0"/>
        <w:ind w:left="155" w:right="0" w:firstLine="6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1、教师科研工作考核的填报与统计在每个考核周期结束前最后半个月进行（12月16日至12月31日），对上一考核周期（上年1月1日至上年12月31日）每位教师完成的各项科研工作进行量化计分和统计，并对计分和统计的结果予以公布。</w:t>
      </w:r>
    </w:p>
    <w:p>
      <w:pPr>
        <w:pStyle w:val="2"/>
        <w:keepNext w:val="0"/>
        <w:keepLines w:val="0"/>
        <w:widowControl/>
        <w:suppressLineNumbers w:val="0"/>
        <w:shd w:val="clear" w:fill="FFFFFF"/>
        <w:spacing w:before="0" w:beforeAutospacing="0" w:after="0" w:afterAutospacing="0"/>
        <w:ind w:left="155" w:right="0" w:firstLine="6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2、教师应认真如实填写“科研工作填报表”，附上科研成果原件、科研成果扫描件和复印件报所在院部初审，初审通过后由院部汇总所有科研工作填报表、科研成果扫描件和复印件提交给科研处，复审后公示审核结果。1周内可对公示考核结果提请复议，科研处应及时会同相关部门进行复核。</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3、科研成果扫描件应包含以下内容：</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（1）著作和教材需提交封面、封底、出版版次所在页、作者参编的目录页以及再著作和教材的序、前言或后记中能够证明作者完成成果情况所在页的扫描件。</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（2）发表论文需提交期刊封面、封底、论文所在目录页、原文所在页的扫描件。此外，论文被国际期刊检索的，还需要提供学校图书馆出具的检索报告扫描件。</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（3）科研获奖、作品获奖、发明专利、软件著作权等需要提供含有证书盖章页的证书扫描件。</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（4）咨询报告、领导批示、成果鉴定等要提交采纳或批示的扫描件，还要提交报告或鉴定材料的扫描件。</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4、科研成果复印件应包含以下内容：</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著作（包括专著、合著、编著和译著）和教材提交原件一本；著作和教材需提交封面、封底、出版版次所在页、作者参编的目录页以及再著作和教材的序、前言或后记中能够证明作者完成成果情况所在页的复印件。</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（2）发表论文需提交期刊封面、封底、论文所在目录页、原文所在页的扫描件。此外，论文被国际期刊检索的，还需要提供学校图书馆出具的检索报告复印件。</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（3）科研获奖、作品获奖、发明专利、软件著作权等需要提供含有证书盖章页的证书复印件。</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（4）咨询报告、领导批示、成果鉴定等要提交采纳或批示的扫描件，还要提交报告或鉴定材料的复印件。</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将所有科研成果的复印件，按照要求装订，提交科研处审核存档。</w:t>
      </w:r>
    </w:p>
    <w:p>
      <w:pPr>
        <w:pStyle w:val="2"/>
        <w:keepNext w:val="0"/>
        <w:keepLines w:val="0"/>
        <w:widowControl/>
        <w:suppressLineNumbers w:val="0"/>
        <w:shd w:val="clear" w:fill="FFFFFF"/>
        <w:spacing w:before="0" w:beforeAutospacing="0" w:after="0" w:afterAutospacing="0"/>
        <w:ind w:left="155" w:right="0" w:firstLine="6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5、如发现填报中有学术造假或抄袭等学术腐败行为，相关的科研工作量计为零分，并按《汉口学院学术不端行为处理办法》处理。</w:t>
      </w:r>
    </w:p>
    <w:p>
      <w:pPr>
        <w:pStyle w:val="2"/>
        <w:keepNext w:val="0"/>
        <w:keepLines w:val="0"/>
        <w:widowControl/>
        <w:suppressLineNumbers w:val="0"/>
        <w:shd w:val="clear" w:fill="FFFFFF"/>
        <w:spacing w:before="0" w:beforeAutospacing="0" w:after="0" w:afterAutospacing="0"/>
        <w:ind w:left="155" w:right="0" w:firstLine="691"/>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六、本考核细则由科研处负责解释。</w:t>
      </w:r>
    </w:p>
    <w:p>
      <w:pPr>
        <w:pStyle w:val="2"/>
        <w:keepNext w:val="0"/>
        <w:keepLines w:val="0"/>
        <w:widowControl/>
        <w:suppressLineNumbers w:val="0"/>
        <w:shd w:val="clear" w:fill="FFFFFF"/>
        <w:spacing w:before="0" w:beforeAutospacing="0" w:after="0" w:afterAutospacing="0"/>
        <w:ind w:left="155" w:right="0" w:firstLine="7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此考核细则的补充和修改将通过后期的考核细则补充修改文件进行解释说明。</w:t>
      </w:r>
    </w:p>
    <w:p>
      <w:pPr>
        <w:pStyle w:val="2"/>
        <w:keepNext w:val="0"/>
        <w:keepLines w:val="0"/>
        <w:widowControl/>
        <w:suppressLineNumbers w:val="0"/>
        <w:shd w:val="clear" w:fill="FFFFFF"/>
        <w:spacing w:before="0" w:beforeAutospacing="0" w:after="0" w:afterAutospacing="0"/>
        <w:ind w:left="0" w:right="0" w:firstLine="32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附件1：教师科研工作年度考核细则</w:t>
      </w:r>
    </w:p>
    <w:p>
      <w:pPr>
        <w:pStyle w:val="2"/>
        <w:keepNext w:val="0"/>
        <w:keepLines w:val="0"/>
        <w:widowControl/>
        <w:suppressLineNumbers w:val="0"/>
        <w:shd w:val="clear" w:fill="FFFFFF"/>
        <w:spacing w:before="0" w:beforeAutospacing="0" w:after="0" w:afterAutospacing="0"/>
        <w:ind w:left="0" w:right="0" w:firstLine="32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附件2：教师指导学生竞赛类别</w:t>
      </w:r>
    </w:p>
    <w:p>
      <w:pPr>
        <w:pStyle w:val="2"/>
        <w:keepNext w:val="0"/>
        <w:keepLines w:val="0"/>
        <w:widowControl/>
        <w:suppressLineNumbers w:val="0"/>
        <w:shd w:val="clear" w:fill="FFFFFF"/>
        <w:spacing w:before="0" w:beforeAutospacing="0" w:after="312"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312" w:afterAutospacing="0"/>
        <w:ind w:left="0" w:right="0" w:firstLine="138"/>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312" w:afterAutospacing="0"/>
        <w:ind w:left="0" w:right="0" w:firstLine="138"/>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312" w:afterAutospacing="0"/>
        <w:ind w:left="0" w:right="0" w:firstLine="138"/>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312" w:afterAutospacing="0"/>
        <w:ind w:left="0" w:right="0" w:firstLine="138"/>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312" w:afterAutospacing="0"/>
        <w:ind w:left="0" w:right="0" w:firstLine="138"/>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312" w:afterAutospacing="0"/>
        <w:ind w:left="0" w:right="0" w:firstLine="138"/>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312"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28"/>
          <w:szCs w:val="28"/>
          <w:shd w:val="clear" w:fill="FFFFFF"/>
        </w:rPr>
        <w:t>附件1：</w:t>
      </w:r>
    </w:p>
    <w:p>
      <w:pPr>
        <w:pStyle w:val="2"/>
        <w:keepNext w:val="0"/>
        <w:keepLines w:val="0"/>
        <w:widowControl/>
        <w:suppressLineNumbers w:val="0"/>
        <w:shd w:val="clear" w:fill="FFFFFF"/>
        <w:spacing w:before="0" w:beforeAutospacing="0" w:after="312" w:afterAutospacing="0"/>
        <w:ind w:left="0" w:right="0" w:firstLine="0"/>
        <w:jc w:val="center"/>
        <w:rPr>
          <w:rFonts w:hint="default" w:ascii="Times New Roman" w:hAnsi="Times New Roman" w:cs="Times New Roman"/>
          <w:i w:val="0"/>
          <w:caps w:val="0"/>
          <w:color w:val="000000"/>
          <w:spacing w:val="0"/>
          <w:sz w:val="21"/>
          <w:szCs w:val="21"/>
        </w:rPr>
      </w:pPr>
      <w:r>
        <w:rPr>
          <w:rFonts w:hint="eastAsia" w:ascii="宋体" w:hAnsi="宋体" w:eastAsia="宋体" w:cs="宋体"/>
          <w:b/>
          <w:i w:val="0"/>
          <w:caps w:val="0"/>
          <w:color w:val="000000"/>
          <w:spacing w:val="0"/>
          <w:sz w:val="44"/>
          <w:szCs w:val="44"/>
          <w:shd w:val="clear" w:fill="FFFFFF"/>
        </w:rPr>
        <w:t>教师科研工作年度考核细则</w:t>
      </w:r>
    </w:p>
    <w:p>
      <w:pPr>
        <w:pStyle w:val="2"/>
        <w:keepNext w:val="0"/>
        <w:keepLines w:val="0"/>
        <w:widowControl/>
        <w:suppressLineNumbers w:val="0"/>
        <w:shd w:val="clear" w:fill="FFFFFF"/>
        <w:spacing w:before="0" w:beforeAutospacing="0" w:after="0" w:afterAutospacing="0"/>
        <w:ind w:left="63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一、各类科研工作的量化计分方法</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根据我国现行科研管理的现状和我校科研工作的实际情况，我校教师科研工作按“科研项目到账经费”、“科研项目立项”、“发表学术论文”、“出版学术专著”、“出版教材”、“科研获奖”、“专利与软件著作权”、“艺术创作作品”、“社会服务成果”、“科研基地和平台建设”、“产学研技术孵化”、“创新创业项目”等分别进行量化计分。</w:t>
      </w:r>
    </w:p>
    <w:p>
      <w:pPr>
        <w:pStyle w:val="2"/>
        <w:keepNext w:val="0"/>
        <w:keepLines w:val="0"/>
        <w:widowControl/>
        <w:suppressLineNumbers w:val="0"/>
        <w:shd w:val="clear" w:fill="FFFFFF"/>
        <w:spacing w:before="0" w:beforeAutospacing="0" w:after="0" w:afterAutospacing="0"/>
        <w:ind w:left="540" w:right="0" w:firstLine="321"/>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1.到校科研项目经费（A1）的分值计算方法</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A1 = 当年实际到校经费（万元）× 100 × K11 × K12</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其中：</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K11 — 项目类型系数（国家级纵向项目为2.0；一般纵向项目为1.5；横向项目为1.0）</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K12 — 项目学科系数（工科项目为1.0；管科项目为1.5；文科（含艺术、体育）项目为2.0）</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注：纵向项目为国家财政拨款项目；横向项目为与校外单位或企业签约的项目。</w:t>
      </w:r>
    </w:p>
    <w:p>
      <w:pPr>
        <w:pStyle w:val="2"/>
        <w:keepNext w:val="0"/>
        <w:keepLines w:val="0"/>
        <w:widowControl/>
        <w:suppressLineNumbers w:val="0"/>
        <w:shd w:val="clear" w:fill="FFFFFF"/>
        <w:spacing w:before="0" w:beforeAutospacing="0" w:after="0" w:afterAutospacing="0"/>
        <w:ind w:left="540" w:right="0" w:firstLine="321"/>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2.科研项目申报、立项或结题（B1、B2）的分值计算方法</w:t>
      </w:r>
    </w:p>
    <w:p>
      <w:pPr>
        <w:pStyle w:val="2"/>
        <w:keepNext w:val="0"/>
        <w:keepLines w:val="0"/>
        <w:widowControl/>
        <w:suppressLineNumbers w:val="0"/>
        <w:shd w:val="clear" w:fill="FFFFFF"/>
        <w:spacing w:before="0" w:beforeAutospacing="0" w:after="0" w:afterAutospacing="0"/>
        <w:ind w:left="319" w:right="0" w:firstLine="48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B1、B2=</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475"/>
        <w:gridCol w:w="1984"/>
        <w:gridCol w:w="212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项目级别</w:t>
            </w:r>
          </w:p>
        </w:tc>
        <w:tc>
          <w:tcPr>
            <w:tcW w:w="198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（B1）立项</w:t>
            </w:r>
          </w:p>
        </w:tc>
        <w:tc>
          <w:tcPr>
            <w:tcW w:w="2127"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（B2）结题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国家级科研项目</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1000</w:t>
            </w:r>
          </w:p>
        </w:tc>
        <w:tc>
          <w:tcPr>
            <w:tcW w:w="212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省部级科研项目</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300</w:t>
            </w:r>
          </w:p>
        </w:tc>
        <w:tc>
          <w:tcPr>
            <w:tcW w:w="212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市厅级科研项目</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50</w:t>
            </w:r>
          </w:p>
        </w:tc>
        <w:tc>
          <w:tcPr>
            <w:tcW w:w="212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校科研项目</w:t>
            </w:r>
          </w:p>
        </w:tc>
        <w:tc>
          <w:tcPr>
            <w:tcW w:w="198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20</w:t>
            </w:r>
          </w:p>
        </w:tc>
        <w:tc>
          <w:tcPr>
            <w:tcW w:w="2127"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475"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申报未立项</w:t>
            </w:r>
          </w:p>
        </w:tc>
        <w:tc>
          <w:tcPr>
            <w:tcW w:w="411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10</w:t>
            </w:r>
          </w:p>
        </w:tc>
      </w:tr>
    </w:tbl>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注：项目级别类型认定</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（1）国家级项目：包括社会科学类国家项目和自然科学类国家项目。</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（2）省部级项目：包括以国家部委、省（直辖市、自治区）名义下达的科研项目以及其他公认的省部级科研项目。</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（3）市厅级项目：包括省哲学社会科学规划办公室、省教育厅人文社会科学、省教育厅科学研究计划等科研项目。</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（4）校级项目：学校立项的科研项目。</w:t>
      </w:r>
    </w:p>
    <w:p>
      <w:pPr>
        <w:pStyle w:val="2"/>
        <w:keepNext w:val="0"/>
        <w:keepLines w:val="0"/>
        <w:widowControl/>
        <w:suppressLineNumbers w:val="0"/>
        <w:shd w:val="clear" w:fill="FFFFFF"/>
        <w:spacing w:before="0" w:beforeAutospacing="0" w:after="0" w:afterAutospacing="0"/>
        <w:ind w:left="319" w:right="0" w:firstLine="482"/>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3．发表学术论文（B3）的分值计算方法</w:t>
      </w:r>
    </w:p>
    <w:p>
      <w:pPr>
        <w:pStyle w:val="2"/>
        <w:keepNext w:val="0"/>
        <w:keepLines w:val="0"/>
        <w:widowControl/>
        <w:suppressLineNumbers w:val="0"/>
        <w:shd w:val="clear" w:fill="FFFFFF"/>
        <w:spacing w:before="0" w:beforeAutospacing="0" w:after="0" w:afterAutospacing="0"/>
        <w:ind w:left="0" w:right="0" w:firstLine="96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B3 =</w:t>
      </w:r>
    </w:p>
    <w:tbl>
      <w:tblPr>
        <w:tblW w:w="0" w:type="auto"/>
        <w:tblInd w:w="13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5743"/>
        <w:gridCol w:w="184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557" w:hRule="atLeast"/>
        </w:trPr>
        <w:tc>
          <w:tcPr>
            <w:tcW w:w="574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论文等级</w:t>
            </w:r>
          </w:p>
        </w:tc>
        <w:tc>
          <w:tcPr>
            <w:tcW w:w="184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分值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658" w:hRule="atLeast"/>
        </w:trPr>
        <w:tc>
          <w:tcPr>
            <w:tcW w:w="57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SCI（科学引文索引）收录论文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SSCI（社会科学引文索引）收录论文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A&amp;HCI（艺术与人文科学引文索引）收录论文</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800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85" w:hRule="atLeast"/>
        </w:trPr>
        <w:tc>
          <w:tcPr>
            <w:tcW w:w="57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EI（工程索引）收录论文</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c>
          <w:tcPr>
            <w:tcW w:w="57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CPCI（科学会议索引）收录论文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CSSCI（中文社会科学引文索引）收录论文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CSCD（中国科学引文数据库）收录论文</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474" w:hRule="atLeast"/>
        </w:trPr>
        <w:tc>
          <w:tcPr>
            <w:tcW w:w="57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核心期刊（以中国知网认定为准）</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200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54" w:hRule="atLeast"/>
        </w:trPr>
        <w:tc>
          <w:tcPr>
            <w:tcW w:w="57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一般正式期刊</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61" w:hRule="atLeast"/>
        </w:trPr>
        <w:tc>
          <w:tcPr>
            <w:tcW w:w="5743"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本校学报</w:t>
            </w:r>
          </w:p>
        </w:tc>
        <w:tc>
          <w:tcPr>
            <w:tcW w:w="184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i w:val="0"/>
                <w:caps w:val="0"/>
                <w:color w:val="000000"/>
                <w:spacing w:val="0"/>
                <w:sz w:val="32"/>
                <w:szCs w:val="32"/>
                <w:bdr w:val="none" w:color="auto" w:sz="0" w:space="0"/>
              </w:rPr>
              <w:t>30</w:t>
            </w:r>
          </w:p>
        </w:tc>
      </w:tr>
    </w:tbl>
    <w:p>
      <w:pPr>
        <w:pStyle w:val="2"/>
        <w:keepNext w:val="0"/>
        <w:keepLines w:val="0"/>
        <w:widowControl/>
        <w:suppressLineNumbers w:val="0"/>
        <w:shd w:val="clear" w:fill="FFFFFF"/>
        <w:spacing w:before="0" w:beforeAutospacing="0" w:after="0" w:afterAutospacing="0"/>
        <w:ind w:left="857" w:right="0" w:firstLine="3494"/>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w:t>
      </w:r>
    </w:p>
    <w:p>
      <w:pPr>
        <w:pStyle w:val="2"/>
        <w:keepNext w:val="0"/>
        <w:keepLines w:val="0"/>
        <w:widowControl/>
        <w:suppressLineNumbers w:val="0"/>
        <w:shd w:val="clear" w:fill="FFFFFF"/>
        <w:spacing w:before="0" w:beforeAutospacing="0" w:after="0" w:afterAutospacing="0"/>
        <w:ind w:left="319" w:right="0" w:firstLine="128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注：（1）SCI（E）、SSCI、A&amp;HCI、EI、CPCI、CSSCI、CSCD等以当年公布最新版本为准，且需要提供汉口学院图书馆出具的检索报告。</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汉口学院专职教师在读研究生期间以通讯作者或第一作者署名，但汉口学院为第二单位，可算为科研成果。汉口学院非在读研究生专职教师，以通讯作者或第一作者署名，但汉口学院为第二单位，不可算为科研成果。</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（2）同一篇论文按就高不就低原则，不重复计算。</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（3）指导汉口学院在读学生撰写的科研论文，且汉口学院专职教师作为指导老师以通讯作者身份署名的视为第一作者计算科研成果。</w:t>
      </w:r>
    </w:p>
    <w:p>
      <w:pPr>
        <w:pStyle w:val="2"/>
        <w:keepNext w:val="0"/>
        <w:keepLines w:val="0"/>
        <w:widowControl/>
        <w:suppressLineNumbers w:val="0"/>
        <w:shd w:val="clear" w:fill="FFFFFF"/>
        <w:spacing w:before="0" w:beforeAutospacing="0" w:after="0" w:afterAutospacing="0"/>
        <w:ind w:left="319" w:right="0" w:firstLine="482"/>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4．出版学术专著、编著、译著（B4）的分值计算方法</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B4 =  20 × 字数（万字）       专著</w:t>
      </w:r>
    </w:p>
    <w:p>
      <w:pPr>
        <w:pStyle w:val="2"/>
        <w:keepNext w:val="0"/>
        <w:keepLines w:val="0"/>
        <w:widowControl/>
        <w:suppressLineNumbers w:val="0"/>
        <w:shd w:val="clear" w:fill="FFFFFF"/>
        <w:spacing w:before="0" w:beforeAutospacing="0" w:after="0" w:afterAutospacing="0"/>
        <w:ind w:left="0" w:right="0" w:firstLine="16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10 × 字数（万字）       编著、译著</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注：相关成果应在作者简介、前言或者后记等内容中明确标明作者所在单位为“汉口学院”，如未标明汉口学院则不计入科研成果。</w:t>
      </w:r>
    </w:p>
    <w:p>
      <w:pPr>
        <w:pStyle w:val="2"/>
        <w:keepNext w:val="0"/>
        <w:keepLines w:val="0"/>
        <w:widowControl/>
        <w:suppressLineNumbers w:val="0"/>
        <w:shd w:val="clear" w:fill="FFFFFF"/>
        <w:spacing w:before="0" w:beforeAutospacing="0" w:after="0" w:afterAutospacing="0"/>
        <w:ind w:left="319" w:right="0" w:firstLine="482"/>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5．出版教材（B5）的分值计算方法</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B5 =  30 × 字数（万字）  国家级优秀教材或国家规划教材</w:t>
      </w:r>
    </w:p>
    <w:p>
      <w:pPr>
        <w:pStyle w:val="2"/>
        <w:keepNext w:val="0"/>
        <w:keepLines w:val="0"/>
        <w:widowControl/>
        <w:suppressLineNumbers w:val="0"/>
        <w:shd w:val="clear" w:fill="FFFFFF"/>
        <w:spacing w:before="0" w:beforeAutospacing="0" w:after="0" w:afterAutospacing="0"/>
        <w:ind w:left="0" w:right="0" w:firstLine="16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20 × 字数（万字）  省级优秀教材</w:t>
      </w:r>
    </w:p>
    <w:p>
      <w:pPr>
        <w:pStyle w:val="2"/>
        <w:keepNext w:val="0"/>
        <w:keepLines w:val="0"/>
        <w:widowControl/>
        <w:suppressLineNumbers w:val="0"/>
        <w:shd w:val="clear" w:fill="FFFFFF"/>
        <w:spacing w:before="0" w:beforeAutospacing="0" w:after="0" w:afterAutospacing="0"/>
        <w:ind w:left="0" w:right="0" w:firstLine="16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10 × 字数（万字）  其他教材</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出版数字化教材以及音频、视频:</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B5 =  音频30/分钟     视频40/分钟    国家级优秀教材或国家规划教材</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音频20/分钟     视频30/分钟    省级优秀教材</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音频10/分钟     视频20/分钟    其他教材</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注：（1）相关成果应在作者简介、前言或者后记等内容中明确标明作者所在单位为“汉口学院”，如未标明汉口学院则不计入科研成果。</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（2）每个ISBN号只能计一次分。</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（3）同一成果再版不计分。</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（4）国家级优秀教材或国家规划教材以主管部门批文为准。</w:t>
      </w:r>
    </w:p>
    <w:p>
      <w:pPr>
        <w:pStyle w:val="2"/>
        <w:keepNext w:val="0"/>
        <w:keepLines w:val="0"/>
        <w:widowControl/>
        <w:suppressLineNumbers w:val="0"/>
        <w:shd w:val="clear" w:fill="FFFFFF"/>
        <w:spacing w:before="0" w:beforeAutospacing="0" w:after="0" w:afterAutospacing="0"/>
        <w:ind w:left="319" w:right="0" w:firstLine="482"/>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6．科研及各类赛事获奖（B6）的分值计算方法</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B6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892"/>
        <w:gridCol w:w="1278"/>
        <w:gridCol w:w="1213"/>
        <w:gridCol w:w="113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科研及各类赛事获奖计分类别</w:t>
            </w:r>
          </w:p>
        </w:tc>
        <w:tc>
          <w:tcPr>
            <w:tcW w:w="133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一等奖</w:t>
            </w:r>
          </w:p>
        </w:tc>
        <w:tc>
          <w:tcPr>
            <w:tcW w:w="129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二等奖</w:t>
            </w:r>
          </w:p>
        </w:tc>
        <w:tc>
          <w:tcPr>
            <w:tcW w:w="12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三等奖</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获国家级（条例或办法）奖项</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10000</w:t>
            </w:r>
          </w:p>
        </w:tc>
        <w:tc>
          <w:tcPr>
            <w:tcW w:w="129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7000</w:t>
            </w: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4000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获省部级（条例或办法）奖项</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1500</w:t>
            </w:r>
          </w:p>
        </w:tc>
        <w:tc>
          <w:tcPr>
            <w:tcW w:w="129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1300</w:t>
            </w: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获市厅级（条例或办法）奖项</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800</w:t>
            </w:r>
          </w:p>
        </w:tc>
        <w:tc>
          <w:tcPr>
            <w:tcW w:w="129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560</w:t>
            </w: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520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入围国家级政府部门组织竞赛（展览）、获奖</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400</w:t>
            </w:r>
          </w:p>
        </w:tc>
        <w:tc>
          <w:tcPr>
            <w:tcW w:w="129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360</w:t>
            </w: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入围省部级政府部门组织竞赛（展览）、获奖</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300</w:t>
            </w:r>
          </w:p>
        </w:tc>
        <w:tc>
          <w:tcPr>
            <w:tcW w:w="129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260</w:t>
            </w: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220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入围市厅级政府部门组织竞赛（展览）、获奖</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200</w:t>
            </w:r>
          </w:p>
        </w:tc>
        <w:tc>
          <w:tcPr>
            <w:tcW w:w="129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160</w:t>
            </w: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国家级行业或协会举办的评奖中获奖</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100</w:t>
            </w:r>
          </w:p>
        </w:tc>
        <w:tc>
          <w:tcPr>
            <w:tcW w:w="129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80</w:t>
            </w: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60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rPr>
              <w:t>省部级行业或协会举办的评奖中获奖</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60</w:t>
            </w:r>
          </w:p>
        </w:tc>
        <w:tc>
          <w:tcPr>
            <w:tcW w:w="129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50</w:t>
            </w: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570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rPr>
              <w:t>市厅级行业或协会举办的评奖中获奖</w:t>
            </w:r>
          </w:p>
        </w:tc>
        <w:tc>
          <w:tcPr>
            <w:tcW w:w="1335"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40</w:t>
            </w:r>
          </w:p>
        </w:tc>
        <w:tc>
          <w:tcPr>
            <w:tcW w:w="129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30</w:t>
            </w:r>
          </w:p>
        </w:tc>
        <w:tc>
          <w:tcPr>
            <w:tcW w:w="120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sz w:val="32"/>
                <w:szCs w:val="32"/>
                <w:bdr w:val="none" w:color="auto" w:sz="0" w:space="0"/>
              </w:rPr>
              <w:t>20</w:t>
            </w:r>
          </w:p>
        </w:tc>
      </w:tr>
    </w:tbl>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注：（1）若奖励等次中设有特等奖，分值按同级一等奖上浮50%计分；若奖励等次中设有三等以下的等次，分值一律按同级三等奖的50%计分。</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（2）各类竞赛优秀指导教师奖、优秀裁判员奖等应按照相应级别的30%计分，且学生获奖证书上应明确指导教师的名字，方为有效。量化计分赛事类别，按附件2《教师指导学生竞赛类别》执行。</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（3）艺术类学科同一成果的不同成果形式，按就高不就低原则，计分一次。</w:t>
      </w:r>
    </w:p>
    <w:p>
      <w:pPr>
        <w:pStyle w:val="2"/>
        <w:keepNext w:val="0"/>
        <w:keepLines w:val="0"/>
        <w:widowControl/>
        <w:suppressLineNumbers w:val="0"/>
        <w:shd w:val="clear" w:fill="FFFFFF"/>
        <w:spacing w:before="0" w:beforeAutospacing="0" w:after="0" w:afterAutospacing="0"/>
        <w:ind w:left="319" w:right="0" w:firstLine="482"/>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7．专利与软件著作权（B7）的分值计算方法</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B7   = 800 / 项       发明专利</w:t>
      </w:r>
    </w:p>
    <w:p>
      <w:pPr>
        <w:pStyle w:val="2"/>
        <w:keepNext w:val="0"/>
        <w:keepLines w:val="0"/>
        <w:widowControl/>
        <w:suppressLineNumbers w:val="0"/>
        <w:shd w:val="clear" w:fill="FFFFFF"/>
        <w:spacing w:before="0" w:beforeAutospacing="0" w:after="0" w:afterAutospacing="0"/>
        <w:ind w:left="0" w:right="0" w:firstLine="176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300 / 项       实用新型专利</w:t>
      </w:r>
    </w:p>
    <w:p>
      <w:pPr>
        <w:pStyle w:val="2"/>
        <w:keepNext w:val="0"/>
        <w:keepLines w:val="0"/>
        <w:widowControl/>
        <w:suppressLineNumbers w:val="0"/>
        <w:shd w:val="clear" w:fill="FFFFFF"/>
        <w:spacing w:before="0" w:beforeAutospacing="0" w:after="0" w:afterAutospacing="0"/>
        <w:ind w:left="0" w:right="0" w:firstLine="176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200 / 项       软件著作权</w:t>
      </w:r>
    </w:p>
    <w:p>
      <w:pPr>
        <w:pStyle w:val="2"/>
        <w:keepNext w:val="0"/>
        <w:keepLines w:val="0"/>
        <w:widowControl/>
        <w:suppressLineNumbers w:val="0"/>
        <w:shd w:val="clear" w:fill="FFFFFF"/>
        <w:spacing w:before="0" w:beforeAutospacing="0" w:after="0" w:afterAutospacing="0"/>
        <w:ind w:left="0" w:right="0" w:firstLine="176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100 / 项       外观设计专利</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注：以汉口学院为唯一专利权人，汉口学院学生和指导老师为发明人的发明和实用新型专利，学生署名第一、我校专职教师作为指导教师署名第二的，视同第一发明人计算教师科研成果。</w:t>
      </w:r>
    </w:p>
    <w:p>
      <w:pPr>
        <w:pStyle w:val="2"/>
        <w:keepNext w:val="0"/>
        <w:keepLines w:val="0"/>
        <w:widowControl/>
        <w:suppressLineNumbers w:val="0"/>
        <w:shd w:val="clear" w:fill="FFFFFF"/>
        <w:spacing w:before="0" w:beforeAutospacing="0" w:after="0" w:afterAutospacing="0"/>
        <w:ind w:left="319" w:right="0" w:firstLine="482"/>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8．艺术创作作品（B8）的分值计算方法</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B8 = 200/篇  国家级媒体播出且应不少于30万的阅读量。</w:t>
      </w:r>
    </w:p>
    <w:p>
      <w:pPr>
        <w:pStyle w:val="2"/>
        <w:keepNext w:val="0"/>
        <w:keepLines w:val="0"/>
        <w:widowControl/>
        <w:suppressLineNumbers w:val="0"/>
        <w:shd w:val="clear" w:fill="FFFFFF"/>
        <w:spacing w:before="0" w:beforeAutospacing="0" w:after="0" w:afterAutospacing="0"/>
        <w:ind w:left="0" w:right="0" w:firstLine="16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60/篇   省部级媒体播出且应不少于20万的阅读量。</w:t>
      </w:r>
    </w:p>
    <w:p>
      <w:pPr>
        <w:pStyle w:val="2"/>
        <w:keepNext w:val="0"/>
        <w:keepLines w:val="0"/>
        <w:widowControl/>
        <w:suppressLineNumbers w:val="0"/>
        <w:shd w:val="clear" w:fill="FFFFFF"/>
        <w:spacing w:before="0" w:beforeAutospacing="0" w:after="0" w:afterAutospacing="0"/>
        <w:ind w:left="0" w:right="0" w:firstLine="160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30/篇   正式注册媒体播出且应不少于10万的阅读量。</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注：（1）国家级媒体是指由中央宣传部、国家文化部、中国文联、中央人民广播电台、中国国际广播电台、中央电视台等国家级媒体及其网站或者“官方微博、官方微信、官方移动客户端”（以下简称“两微一端”）。</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（2）省部级媒体是指省委宣传部、省文化厅、省文联、省级电视台等厅局级媒体及其网站或者“两微一端”。</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（3）正式注册媒体是指省文联下属协会或主流媒体的官方网站或者“两微一端”。</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（4）艺术创作作品发表在内刊、增刊、刊物封面、封底、广告页的作品不计分，论文、著作中的插图和所引证的作品不计分。</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     9.社会服务成果分值计算方法</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B9</w:t>
      </w:r>
      <w:r>
        <w:rPr>
          <w:rFonts w:hint="eastAsia" w:ascii="仿宋" w:hAnsi="仿宋" w:eastAsia="仿宋" w:cs="仿宋"/>
          <w:i w:val="0"/>
          <w:caps w:val="0"/>
          <w:color w:val="000000"/>
          <w:spacing w:val="0"/>
          <w:sz w:val="32"/>
          <w:szCs w:val="32"/>
          <w:shd w:val="clear" w:fill="FFFFFF"/>
          <w:vertAlign w:val="subscript"/>
        </w:rPr>
        <w:t>A</w:t>
      </w:r>
      <w:r>
        <w:rPr>
          <w:rFonts w:hint="eastAsia" w:ascii="仿宋" w:hAnsi="仿宋" w:eastAsia="仿宋" w:cs="仿宋"/>
          <w:i w:val="0"/>
          <w:caps w:val="0"/>
          <w:color w:val="000000"/>
          <w:spacing w:val="0"/>
          <w:sz w:val="32"/>
          <w:szCs w:val="32"/>
          <w:shd w:val="clear" w:fill="FFFFFF"/>
        </w:rPr>
        <w:t> </w:t>
      </w:r>
      <w:r>
        <w:rPr>
          <w:rFonts w:hint="eastAsia" w:ascii="仿宋" w:hAnsi="仿宋" w:eastAsia="仿宋" w:cs="仿宋"/>
          <w:b/>
          <w:i w:val="0"/>
          <w:caps w:val="0"/>
          <w:color w:val="000000"/>
          <w:spacing w:val="0"/>
          <w:sz w:val="32"/>
          <w:szCs w:val="32"/>
          <w:shd w:val="clear" w:fill="FFFFFF"/>
        </w:rPr>
        <w:t> =  </w:t>
      </w:r>
      <w:r>
        <w:rPr>
          <w:rFonts w:hint="eastAsia" w:ascii="仿宋" w:hAnsi="仿宋" w:eastAsia="仿宋" w:cs="仿宋"/>
          <w:i w:val="0"/>
          <w:caps w:val="0"/>
          <w:color w:val="000000"/>
          <w:spacing w:val="0"/>
          <w:sz w:val="32"/>
          <w:szCs w:val="32"/>
          <w:shd w:val="clear" w:fill="FFFFFF"/>
        </w:rPr>
        <w:t>1.A1级研究报告。获得批示计3000 分，被采纳计5000 分。</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2.A2级研究报告。获得批示计 2000 分，被采纳计1000分，直接产生经济效益计3000分。</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3.A3级研究报告。获得批示计1000 分，被采纳计 500  分，直接产生经济效益计2000分。</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4.A4级研究报告。获得批示计 500 分，被采纳计 200  分，直接产生经济效益计1000分。</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B9</w:t>
      </w:r>
      <w:r>
        <w:rPr>
          <w:rFonts w:hint="eastAsia" w:ascii="仿宋" w:hAnsi="仿宋" w:eastAsia="仿宋" w:cs="仿宋"/>
          <w:i w:val="0"/>
          <w:caps w:val="0"/>
          <w:color w:val="000000"/>
          <w:spacing w:val="0"/>
          <w:sz w:val="32"/>
          <w:szCs w:val="32"/>
          <w:shd w:val="clear" w:fill="FFFFFF"/>
          <w:vertAlign w:val="subscript"/>
        </w:rPr>
        <w:t>B</w:t>
      </w:r>
      <w:r>
        <w:rPr>
          <w:rFonts w:hint="eastAsia" w:ascii="仿宋" w:hAnsi="仿宋" w:eastAsia="仿宋" w:cs="仿宋"/>
          <w:i w:val="0"/>
          <w:caps w:val="0"/>
          <w:color w:val="000000"/>
          <w:spacing w:val="0"/>
          <w:sz w:val="32"/>
          <w:szCs w:val="32"/>
          <w:shd w:val="clear" w:fill="FFFFFF"/>
        </w:rPr>
        <w:t> =    1. B1级  1000-3000  被国家级机构委托、邀请的</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2. B2级  300-500    被省部级机构委托、邀请的</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3. B3级  50-100     被市厅级机构委托、邀请的</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4. B4级  20         被校级机构委托、邀请的</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注：将教师在社会服务中科研成果转化为生产力带来的经济效益纳入到科研工作考核当中，对其科研成果转化业绩进行量化计分，将考核结果作为教师职称（职务）评聘，岗位聘用的重要依据。将教师社会服务成果进行分级认定，研究报告分为A1、A2、A3、A4四个等级；教师承担公共学术事务，包括政府机构和国家相关主管部门认定的各级行业协会委托、邀请进行学术交流或学术事务，根据政府和行业协会级别认定为B1，B2,B3,B4四个等级。其中国家相关主管部门认定的各级行业协会，是指按照《社会团体登记管理条例（2016修订版）》和《社会组织评估管理办法》等相关法规条例，在国家各级民政部门或政府主管部门合法备案的机构。</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（1）A1级研究报告是指获得党和国家领导人批示的或被全国性法律、法规和制度、政策制定采纳的研究报告；A2级研究报告是指获得省部级主要领导批示的或被国家部委、行业、省  （市）、自治区党委政府制度与政策制定采纳的研究报告；A3级研究报告是指获得省部级其他领导、副省级城市主要领导批示的或被副省级、地市级党委政府制定政策以及地方性法规采纳的研究报告；A4级研究报告是指获得县市级以下党委政府主要领导批示的或被县市级党委政府政策制定采纳的研究报告。</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（2）研究报告也可按照被采纳企业规模大小认定其等级，并且最高认定为A2级。具体标准为：被大型企业采纳的认定为A2级，被中型企业采纳的认定为A3级, 被小型企业采纳的认定为A4级。</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（3）研究报告还可按照产生直接经济效益认定其等级。具体标准为：产生直接经济效益 10 万元以上的认定为A2级， 8 万元的认定为A3级， 6 万元的认定为A4级，需提供研究报告采用部门或企业的相关财务到账凭证及证明。</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（4）教师承担公共学术事务。按机构级别分为四个等级，被国家级机构委托、邀请的为B1级，被省部级机构委托、邀请的为B2级，被市厅级机构委托、邀请的为B3级，被校级机构委托、邀请的为B4级。</w:t>
      </w:r>
    </w:p>
    <w:p>
      <w:pPr>
        <w:pStyle w:val="2"/>
        <w:keepNext w:val="0"/>
        <w:keepLines w:val="0"/>
        <w:widowControl/>
        <w:suppressLineNumbers w:val="0"/>
        <w:shd w:val="clear" w:fill="FFFFFF"/>
        <w:spacing w:before="0" w:beforeAutospacing="0" w:after="0" w:afterAutospacing="0"/>
        <w:ind w:left="319" w:right="0" w:firstLine="482"/>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10. 科研基地和平台建设（B10）的分值计算方法</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B10  =  1500/ 项       国家级</w:t>
      </w:r>
    </w:p>
    <w:p>
      <w:pPr>
        <w:pStyle w:val="2"/>
        <w:keepNext w:val="0"/>
        <w:keepLines w:val="0"/>
        <w:widowControl/>
        <w:suppressLineNumbers w:val="0"/>
        <w:shd w:val="clear" w:fill="FFFFFF"/>
        <w:spacing w:before="0" w:beforeAutospacing="0" w:after="0" w:afterAutospacing="0"/>
        <w:ind w:left="0" w:right="0" w:firstLine="192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1000/ 项       省厅级</w:t>
      </w:r>
    </w:p>
    <w:p>
      <w:pPr>
        <w:pStyle w:val="2"/>
        <w:keepNext w:val="0"/>
        <w:keepLines w:val="0"/>
        <w:widowControl/>
        <w:suppressLineNumbers w:val="0"/>
        <w:shd w:val="clear" w:fill="FFFFFF"/>
        <w:spacing w:before="0" w:beforeAutospacing="0" w:after="0" w:afterAutospacing="0"/>
        <w:ind w:left="0" w:right="0" w:firstLine="192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600 / 项       市级</w:t>
      </w:r>
    </w:p>
    <w:p>
      <w:pPr>
        <w:pStyle w:val="2"/>
        <w:keepNext w:val="0"/>
        <w:keepLines w:val="0"/>
        <w:widowControl/>
        <w:suppressLineNumbers w:val="0"/>
        <w:shd w:val="clear" w:fill="FFFFFF"/>
        <w:spacing w:before="0" w:beforeAutospacing="0" w:after="0" w:afterAutospacing="0"/>
        <w:ind w:left="0" w:right="0" w:firstLine="192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300 / 项       校级</w:t>
      </w:r>
    </w:p>
    <w:p>
      <w:pPr>
        <w:pStyle w:val="2"/>
        <w:keepNext w:val="0"/>
        <w:keepLines w:val="0"/>
        <w:widowControl/>
        <w:suppressLineNumbers w:val="0"/>
        <w:shd w:val="clear" w:fill="FFFFFF"/>
        <w:spacing w:before="0" w:beforeAutospacing="0" w:after="0" w:afterAutospacing="0"/>
        <w:ind w:left="319" w:right="0" w:firstLine="482"/>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11．产学研技术孵化（B11）的分值计算方法</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B11  = 600/项      科研成果、专利技术在校孵化器开办公司创业</w:t>
      </w:r>
    </w:p>
    <w:p>
      <w:pPr>
        <w:pStyle w:val="2"/>
        <w:keepNext w:val="0"/>
        <w:keepLines w:val="0"/>
        <w:widowControl/>
        <w:suppressLineNumbers w:val="0"/>
        <w:shd w:val="clear" w:fill="FFFFFF"/>
        <w:spacing w:before="0" w:beforeAutospacing="0" w:after="0" w:afterAutospacing="0"/>
        <w:ind w:left="319" w:right="0" w:firstLine="482"/>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12．创新创业项目（B12）的分值计算方法</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    B12  = 200/项      带领学生团队在校孵化器开办公司创新创业</w:t>
      </w:r>
    </w:p>
    <w:p>
      <w:pPr>
        <w:pStyle w:val="2"/>
        <w:keepNext w:val="0"/>
        <w:keepLines w:val="0"/>
        <w:widowControl/>
        <w:suppressLineNumbers w:val="0"/>
        <w:shd w:val="clear" w:fill="FFFFFF"/>
        <w:spacing w:before="0" w:beforeAutospacing="0" w:after="0" w:afterAutospacing="0"/>
        <w:ind w:left="0" w:right="0" w:firstLine="964"/>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二、多人完成的科研工作计分分配办法</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如果科研工作由多人合作完成，每个人的量化分值分配比率由科研工作第一完成人以书面形式上报科研处，参加该项目所有人的分配比率之和不得大于1。若科研工作第一完成人不是本校教职工，由二人完成的科研工作中第二完成人的分配比率取35%，由三人完成的科研工作中第二完成人和第三完成人的分配比率分别取30%和15%。</w:t>
      </w:r>
    </w:p>
    <w:p>
      <w:pPr>
        <w:pStyle w:val="2"/>
        <w:keepNext w:val="0"/>
        <w:keepLines w:val="0"/>
        <w:widowControl/>
        <w:suppressLineNumbers w:val="0"/>
        <w:shd w:val="clear" w:fill="FFFFFF"/>
        <w:spacing w:before="0" w:beforeAutospacing="0" w:after="0" w:afterAutospacing="0"/>
        <w:ind w:left="0" w:right="0" w:firstLine="964"/>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三、科研团队的考核</w:t>
      </w:r>
    </w:p>
    <w:p>
      <w:pPr>
        <w:pStyle w:val="2"/>
        <w:keepNext w:val="0"/>
        <w:keepLines w:val="0"/>
        <w:widowControl/>
        <w:suppressLineNumbers w:val="0"/>
        <w:shd w:val="clear" w:fill="FFFFFF"/>
        <w:spacing w:before="0" w:beforeAutospacing="0" w:after="0" w:afterAutospacing="0"/>
        <w:ind w:left="0" w:right="0" w:firstLine="640"/>
        <w:jc w:val="both"/>
        <w:rPr>
          <w:rFonts w:hint="default" w:ascii="Times New Roman" w:hAnsi="Times New Roman" w:cs="Times New Roman"/>
          <w:i w:val="0"/>
          <w:caps w:val="0"/>
          <w:color w:val="000000"/>
          <w:spacing w:val="0"/>
          <w:sz w:val="21"/>
          <w:szCs w:val="21"/>
        </w:rPr>
      </w:pPr>
      <w:r>
        <w:rPr>
          <w:rFonts w:hint="eastAsia" w:ascii="仿宋" w:hAnsi="仿宋" w:eastAsia="仿宋" w:cs="仿宋"/>
          <w:i w:val="0"/>
          <w:caps w:val="0"/>
          <w:color w:val="000000"/>
          <w:spacing w:val="0"/>
          <w:sz w:val="32"/>
          <w:szCs w:val="32"/>
          <w:shd w:val="clear" w:fill="FFFFFF"/>
        </w:rPr>
        <w:t>由团队参与者个人科研考核成绩和研究团队申请时提交的阶段性目标完成情况两个部分组成。</w:t>
      </w:r>
    </w:p>
    <w:p>
      <w:pPr>
        <w:pStyle w:val="2"/>
        <w:keepNext w:val="0"/>
        <w:keepLines w:val="0"/>
        <w:widowControl/>
        <w:suppressLineNumbers w:val="0"/>
        <w:shd w:val="clear" w:fill="FFFFFF"/>
        <w:spacing w:before="0" w:beforeAutospacing="0" w:after="0" w:afterAutospacing="0"/>
        <w:ind w:left="0" w:right="0" w:firstLine="964"/>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四、科研成果转化业绩的考核参照我校促进科技成果转化实施细则。</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319" w:right="0" w:firstLine="64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319" w:right="0" w:firstLine="48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319" w:right="0" w:firstLine="48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319" w:right="0" w:firstLine="48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附件2：教师指导学生竞赛类别</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0"/>
          <w:sz w:val="32"/>
          <w:szCs w:val="32"/>
          <w:shd w:val="clear" w:fill="FFFFFF"/>
        </w:rPr>
        <w:t>一、全国高校学科竞赛</w:t>
      </w:r>
    </w:p>
    <w:tbl>
      <w:tblPr>
        <w:tblW w:w="0" w:type="auto"/>
        <w:jc w:val="center"/>
        <w:shd w:val="clear"/>
        <w:tblLayout w:type="autofit"/>
        <w:tblCellMar>
          <w:top w:w="15" w:type="dxa"/>
          <w:left w:w="15" w:type="dxa"/>
          <w:bottom w:w="15" w:type="dxa"/>
          <w:right w:w="15" w:type="dxa"/>
        </w:tblCellMar>
      </w:tblPr>
      <w:tblGrid>
        <w:gridCol w:w="4286"/>
        <w:gridCol w:w="4236"/>
      </w:tblGrid>
      <w:tr>
        <w:tblPrEx>
          <w:shd w:val="clear"/>
          <w:tblCellMar>
            <w:top w:w="15" w:type="dxa"/>
            <w:left w:w="15" w:type="dxa"/>
            <w:bottom w:w="15" w:type="dxa"/>
            <w:right w:w="15" w:type="dxa"/>
          </w:tblCellMar>
        </w:tblPrEx>
        <w:trPr>
          <w:trHeight w:val="375" w:hRule="atLeast"/>
          <w:jc w:val="center"/>
        </w:trPr>
        <w:tc>
          <w:tcPr>
            <w:tcW w:w="516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中国“互联网+”大学生创新创业大赛</w:t>
            </w:r>
          </w:p>
        </w:tc>
        <w:tc>
          <w:tcPr>
            <w:tcW w:w="49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“外研社杯”全国英语演讲大赛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“挑战杯”全国大学生课外学术科技作品竞赛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全国职业院校技能大赛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“挑战杯”全国大学生创业计划大赛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全国大学生创新创业训练计划年会展示</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ACM-ICPI国际大学生程序设计竞赛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全国大学生机器人大赛RoboMaster</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全国大学生数学建模竞赛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“西门子杯”中国智能制造挑战赛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全国大学生电子设计竞赛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全国大学生化工设计竞赛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全国大学生化学实验邀请赛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中国高校计算机大赛-大数据挑战赛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全国高等医学院校大学生临床技能竞赛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全国三维数字化创新设计大赛（大学生组）</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全国大学生机械创新设计大赛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全国大学生计算机设计大赛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全国大学生结构设计竞赛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全国大学生市场调查与分析大赛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全国大学生广告艺术大赛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全国大学生服务外包创新创业大赛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全国大学生智能汽车竞赛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两岸新锐设计竞赛“华灿奖”</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全国大学生交通科技大赛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长江钢琴·全国高校钢琴大赛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全国大学生电子商务“创新、创意及创业”挑战赛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全国大学生先进成图技术与产品信息建模创新大赛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全国大学生节能减排社会实践与科技竞赛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世界技能大赛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全国大学生工程训练综合能力竞赛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世界技能大赛中国选拔赛</w:t>
            </w:r>
          </w:p>
        </w:tc>
      </w:tr>
      <w:tr>
        <w:tblPrEx>
          <w:tblCellMar>
            <w:top w:w="15" w:type="dxa"/>
            <w:left w:w="15" w:type="dxa"/>
            <w:bottom w:w="15" w:type="dxa"/>
            <w:right w:w="15" w:type="dxa"/>
          </w:tblCellMar>
        </w:tblPrEx>
        <w:trPr>
          <w:trHeight w:val="375" w:hRule="atLeast"/>
          <w:jc w:val="center"/>
        </w:trPr>
        <w:tc>
          <w:tcPr>
            <w:tcW w:w="516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全国大学生物流设计大赛</w:t>
            </w:r>
          </w:p>
        </w:tc>
        <w:tc>
          <w:tcPr>
            <w:tcW w:w="49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全国大学生机器人大赛RoboTac</w:t>
            </w:r>
          </w:p>
        </w:tc>
      </w:tr>
    </w:tbl>
    <w:p>
      <w:pPr>
        <w:pStyle w:val="2"/>
        <w:keepNext w:val="0"/>
        <w:keepLines w:val="0"/>
        <w:widowControl/>
        <w:suppressLineNumbers w:val="0"/>
        <w:shd w:val="clear" w:fill="FFFFFF"/>
        <w:spacing w:before="0" w:beforeAutospacing="0" w:after="0" w:afterAutospacing="0" w:line="240" w:lineRule="atLeast"/>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240"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240"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240"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240"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line="240" w:lineRule="atLeast"/>
        <w:ind w:left="0" w:right="0" w:firstLine="0"/>
        <w:jc w:val="both"/>
        <w:rPr>
          <w:rFonts w:hint="default" w:ascii="Times New Roman" w:hAnsi="Times New Roman" w:cs="Times New Roman"/>
          <w:i w:val="0"/>
          <w:caps w:val="0"/>
          <w:color w:val="000000"/>
          <w:spacing w:val="0"/>
          <w:sz w:val="21"/>
          <w:szCs w:val="21"/>
        </w:rPr>
      </w:pPr>
      <w:r>
        <w:rPr>
          <w:rFonts w:hint="eastAsia" w:ascii="仿宋" w:hAnsi="仿宋" w:eastAsia="仿宋" w:cs="仿宋"/>
          <w:b/>
          <w:i w:val="0"/>
          <w:caps w:val="0"/>
          <w:color w:val="000000"/>
          <w:spacing w:val="-20"/>
          <w:sz w:val="32"/>
          <w:szCs w:val="32"/>
          <w:shd w:val="clear" w:fill="FFFFFF"/>
        </w:rPr>
        <w:t>二、学科竞赛目录</w:t>
      </w:r>
    </w:p>
    <w:tbl>
      <w:tblPr>
        <w:tblW w:w="10200" w:type="dxa"/>
        <w:jc w:val="center"/>
        <w:shd w:val="clear"/>
        <w:tblLayout w:type="autofit"/>
        <w:tblCellMar>
          <w:top w:w="15" w:type="dxa"/>
          <w:left w:w="15" w:type="dxa"/>
          <w:bottom w:w="15" w:type="dxa"/>
          <w:right w:w="15" w:type="dxa"/>
        </w:tblCellMar>
      </w:tblPr>
      <w:tblGrid>
        <w:gridCol w:w="2519"/>
        <w:gridCol w:w="7681"/>
      </w:tblGrid>
      <w:tr>
        <w:tblPrEx>
          <w:shd w:val="clear"/>
          <w:tblCellMar>
            <w:top w:w="15" w:type="dxa"/>
            <w:left w:w="15" w:type="dxa"/>
            <w:bottom w:w="15" w:type="dxa"/>
            <w:right w:w="15" w:type="dxa"/>
          </w:tblCellMar>
        </w:tblPrEx>
        <w:trPr>
          <w:trHeight w:val="1765" w:hRule="atLeast"/>
          <w:jc w:val="center"/>
        </w:trPr>
        <w:tc>
          <w:tcPr>
            <w:tcW w:w="2519" w:type="dxa"/>
            <w:tcBorders>
              <w:top w:val="single" w:color="auto" w:sz="8" w:space="0"/>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管理学院</w:t>
            </w:r>
          </w:p>
        </w:tc>
        <w:tc>
          <w:tcPr>
            <w:tcW w:w="768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1.全国应用型本科会计技能竞赛</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2.全国大学生创新会计人才技能大赛</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3.大学生财务决策大赛</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4.中国大学生人力资源职业技能大赛</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5.全国大学生人力资源管理知识技能竞赛</w:t>
            </w:r>
          </w:p>
        </w:tc>
      </w:tr>
      <w:tr>
        <w:tblPrEx>
          <w:tblCellMar>
            <w:top w:w="15" w:type="dxa"/>
            <w:left w:w="15" w:type="dxa"/>
            <w:bottom w:w="15" w:type="dxa"/>
            <w:right w:w="15" w:type="dxa"/>
          </w:tblCellMar>
        </w:tblPrEx>
        <w:trPr>
          <w:trHeight w:val="1078" w:hRule="atLeast"/>
          <w:jc w:val="center"/>
        </w:trPr>
        <w:tc>
          <w:tcPr>
            <w:tcW w:w="2519"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经济学院</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1.湖北省高校跨境电商双创賽</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2.湖北省高校第二届税务精英挑战赛</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3.长江商报第十五届大学生创业营销大赛</w:t>
            </w:r>
          </w:p>
        </w:tc>
      </w:tr>
      <w:tr>
        <w:tblPrEx>
          <w:tblCellMar>
            <w:top w:w="15" w:type="dxa"/>
            <w:left w:w="15" w:type="dxa"/>
            <w:bottom w:w="15" w:type="dxa"/>
            <w:right w:w="15" w:type="dxa"/>
          </w:tblCellMar>
        </w:tblPrEx>
        <w:trPr>
          <w:trHeight w:val="654" w:hRule="atLeast"/>
          <w:jc w:val="center"/>
        </w:trPr>
        <w:tc>
          <w:tcPr>
            <w:tcW w:w="2519"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金融学院</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全国金融与证券模拟投资实训大赛</w:t>
            </w:r>
          </w:p>
        </w:tc>
      </w:tr>
      <w:tr>
        <w:tblPrEx>
          <w:tblCellMar>
            <w:top w:w="15" w:type="dxa"/>
            <w:left w:w="15" w:type="dxa"/>
            <w:bottom w:w="15" w:type="dxa"/>
            <w:right w:w="15" w:type="dxa"/>
          </w:tblCellMar>
        </w:tblPrEx>
        <w:trPr>
          <w:trHeight w:val="1962" w:hRule="atLeast"/>
          <w:jc w:val="center"/>
        </w:trPr>
        <w:tc>
          <w:tcPr>
            <w:tcW w:w="2519"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创新与素质拓展学院</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1.湖北省高校科技人员创新创业专项暨湖北省高校科技人员创新创业大赛（以赛代评）                                                                        2.中国创新创业大赛（含湖北赛区）                                     3.“华创杯”创业大赛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4.中国留学人员创新创业大赛                                          5.“创青春”全国大学生创业大赛</w:t>
            </w:r>
          </w:p>
        </w:tc>
      </w:tr>
      <w:tr>
        <w:tblPrEx>
          <w:tblCellMar>
            <w:top w:w="15" w:type="dxa"/>
            <w:left w:w="15" w:type="dxa"/>
            <w:bottom w:w="15" w:type="dxa"/>
            <w:right w:w="15" w:type="dxa"/>
          </w:tblCellMar>
        </w:tblPrEx>
        <w:trPr>
          <w:trHeight w:val="450" w:hRule="atLeast"/>
          <w:jc w:val="center"/>
        </w:trPr>
        <w:tc>
          <w:tcPr>
            <w:tcW w:w="2519"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文法学院</w:t>
            </w:r>
          </w:p>
        </w:tc>
        <w:tc>
          <w:tcPr>
            <w:tcW w:w="76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 全国师范院校师范生教学技能大赛（国家级）（湖北省普通高校师范专业大学生教学技能竞赛）（省级）</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2.“诗词中国”传统诗词创作大赛（国家级）</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3. 全国大学生樱花诗歌邀请赛（国家级）</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4.全国青少年冰心文学大赛（国家级）</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5.湖北省高校“一二·九”诗歌散文大赛（省级）</w:t>
            </w:r>
          </w:p>
        </w:tc>
      </w:tr>
      <w:tr>
        <w:tblPrEx>
          <w:tblCellMar>
            <w:top w:w="15" w:type="dxa"/>
            <w:left w:w="15" w:type="dxa"/>
            <w:bottom w:w="15" w:type="dxa"/>
            <w:right w:w="15" w:type="dxa"/>
          </w:tblCellMar>
        </w:tblPrEx>
        <w:trPr>
          <w:trHeight w:val="1440" w:hRule="atLeast"/>
          <w:jc w:val="center"/>
        </w:trPr>
        <w:tc>
          <w:tcPr>
            <w:tcW w:w="2519"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外语学院</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1、湖北省翻译大赛（1.笔译组  2.口译组）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2、海峡两岸口译大赛（国际比赛）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3、韩素音国际翻译大赛（国家级）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4、全国大学英语竞赛（国家级）</w:t>
            </w:r>
          </w:p>
        </w:tc>
      </w:tr>
      <w:tr>
        <w:tblPrEx>
          <w:tblCellMar>
            <w:top w:w="15" w:type="dxa"/>
            <w:left w:w="15" w:type="dxa"/>
            <w:bottom w:w="15" w:type="dxa"/>
            <w:right w:w="15" w:type="dxa"/>
          </w:tblCellMar>
        </w:tblPrEx>
        <w:trPr>
          <w:trHeight w:val="1200" w:hRule="atLeast"/>
          <w:jc w:val="center"/>
        </w:trPr>
        <w:tc>
          <w:tcPr>
            <w:tcW w:w="2519"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音乐学院</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1.高校音乐教育专业教师基本功展演赛</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2.楚天艺术大赛</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3.香港国际钢琴公开赛（肖邦纪念奖、李斯特纪念奖）</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4.珠江•凯撒堡大赛（钢琴、声乐）</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5.KAWAI亚洲钢琴大赛</w:t>
            </w:r>
          </w:p>
        </w:tc>
      </w:tr>
      <w:tr>
        <w:tblPrEx>
          <w:tblCellMar>
            <w:top w:w="15" w:type="dxa"/>
            <w:left w:w="15" w:type="dxa"/>
            <w:bottom w:w="15" w:type="dxa"/>
            <w:right w:w="15" w:type="dxa"/>
          </w:tblCellMar>
        </w:tblPrEx>
        <w:trPr>
          <w:trHeight w:val="625" w:hRule="atLeast"/>
          <w:jc w:val="center"/>
        </w:trPr>
        <w:tc>
          <w:tcPr>
            <w:tcW w:w="2519"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航空学院</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中国国际飞行器设计大赛</w:t>
            </w:r>
          </w:p>
        </w:tc>
      </w:tr>
      <w:tr>
        <w:tblPrEx>
          <w:tblCellMar>
            <w:top w:w="15" w:type="dxa"/>
            <w:left w:w="15" w:type="dxa"/>
            <w:bottom w:w="15" w:type="dxa"/>
            <w:right w:w="15" w:type="dxa"/>
          </w:tblCellMar>
        </w:tblPrEx>
        <w:trPr>
          <w:trHeight w:val="1200" w:hRule="atLeast"/>
          <w:jc w:val="center"/>
        </w:trPr>
        <w:tc>
          <w:tcPr>
            <w:tcW w:w="2519"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艺术设计学院</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1、中国包装创意设计大赛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2、湖北省大学生文化创意设计大赛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3、金创意国际空间设计大赛（注明：此项大赛由于指导教师奖证书上没有统一写指导教师的名字，需要学院提供相关的证明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4、全国高校数字艺术大赛（NCDA大赛）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5、全国大中学生海洋文化创意设计大赛</w:t>
            </w:r>
          </w:p>
        </w:tc>
      </w:tr>
      <w:tr>
        <w:tblPrEx>
          <w:tblCellMar>
            <w:top w:w="15" w:type="dxa"/>
            <w:left w:w="15" w:type="dxa"/>
            <w:bottom w:w="15" w:type="dxa"/>
            <w:right w:w="15" w:type="dxa"/>
          </w:tblCellMar>
        </w:tblPrEx>
        <w:trPr>
          <w:trHeight w:val="1200" w:hRule="atLeast"/>
          <w:jc w:val="center"/>
        </w:trPr>
        <w:tc>
          <w:tcPr>
            <w:tcW w:w="2519"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体育课部</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1.中国飞镖协会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2.中国大学生体育协会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3.民办高校联盟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4.武汉市体育局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5.湖北省教育厅</w:t>
            </w:r>
          </w:p>
        </w:tc>
      </w:tr>
      <w:tr>
        <w:tblPrEx>
          <w:tblCellMar>
            <w:top w:w="15" w:type="dxa"/>
            <w:left w:w="15" w:type="dxa"/>
            <w:bottom w:w="15" w:type="dxa"/>
            <w:right w:w="15" w:type="dxa"/>
          </w:tblCellMar>
        </w:tblPrEx>
        <w:trPr>
          <w:trHeight w:val="1200" w:hRule="atLeast"/>
          <w:jc w:val="center"/>
        </w:trPr>
        <w:tc>
          <w:tcPr>
            <w:tcW w:w="2519"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智能制造学院</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 中国工程机器人大赛暨国际公开赛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2. 中美青年创客大赛（China-US Young Maker Competition,CUYMC）</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3. 中国大学生机械工程创新创意大赛-智能制造大赛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4. 中国高校计算机大赛人工智能创意赛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5“博创杯”全国大学生嵌入式人工智能设计大赛</w:t>
            </w:r>
          </w:p>
        </w:tc>
      </w:tr>
      <w:tr>
        <w:tblPrEx>
          <w:tblCellMar>
            <w:top w:w="15" w:type="dxa"/>
            <w:left w:w="15" w:type="dxa"/>
            <w:bottom w:w="15" w:type="dxa"/>
            <w:right w:w="15" w:type="dxa"/>
          </w:tblCellMar>
        </w:tblPrEx>
        <w:trPr>
          <w:trHeight w:val="1440" w:hRule="atLeast"/>
          <w:jc w:val="center"/>
        </w:trPr>
        <w:tc>
          <w:tcPr>
            <w:tcW w:w="2519"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电信学院</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1、湖北省大学生物理实验创新设计竞赛</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2、中国大学生工程机器人大赛</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3、“蓝桥杯”全国软件和信息技术专业人才大赛</w:t>
            </w:r>
          </w:p>
        </w:tc>
      </w:tr>
      <w:tr>
        <w:tblPrEx>
          <w:tblCellMar>
            <w:top w:w="15" w:type="dxa"/>
            <w:left w:w="15" w:type="dxa"/>
            <w:bottom w:w="15" w:type="dxa"/>
            <w:right w:w="15" w:type="dxa"/>
          </w:tblCellMar>
        </w:tblPrEx>
        <w:trPr>
          <w:trHeight w:val="955" w:hRule="atLeast"/>
          <w:jc w:val="center"/>
        </w:trPr>
        <w:tc>
          <w:tcPr>
            <w:tcW w:w="251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计科学院</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全国大学生移动物联网大赛</w:t>
            </w:r>
          </w:p>
        </w:tc>
      </w:tr>
      <w:tr>
        <w:tblPrEx>
          <w:tblCellMar>
            <w:top w:w="15" w:type="dxa"/>
            <w:left w:w="15" w:type="dxa"/>
            <w:bottom w:w="15" w:type="dxa"/>
            <w:right w:w="15" w:type="dxa"/>
          </w:tblCellMar>
        </w:tblPrEx>
        <w:trPr>
          <w:trHeight w:val="1440" w:hRule="atLeast"/>
          <w:jc w:val="center"/>
        </w:trPr>
        <w:tc>
          <w:tcPr>
            <w:tcW w:w="251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传媒学院</w:t>
            </w:r>
          </w:p>
        </w:tc>
        <w:tc>
          <w:tcPr>
            <w:tcW w:w="768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color w:val="000000"/>
                <w:sz w:val="32"/>
                <w:szCs w:val="32"/>
                <w:bdr w:val="none" w:color="auto" w:sz="0" w:space="0"/>
              </w:rPr>
              <w:t>1.“国青杯”心艺人生.全国高校艺术与设计作品展</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2.上海国际大学生广告艺术节</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3.全国牡丹亭微电影大赛</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4.湖北省科普讲解大赛</w:t>
            </w:r>
            <w:r>
              <w:rPr>
                <w:rFonts w:hint="eastAsia" w:ascii="仿宋" w:hAnsi="仿宋" w:eastAsia="仿宋" w:cs="仿宋"/>
                <w:color w:val="000000"/>
                <w:sz w:val="32"/>
                <w:szCs w:val="32"/>
                <w:bdr w:val="none" w:color="auto" w:sz="0" w:space="0"/>
              </w:rPr>
              <w:br w:type="textWrapping"/>
            </w:r>
            <w:r>
              <w:rPr>
                <w:rFonts w:hint="eastAsia" w:ascii="仿宋" w:hAnsi="仿宋" w:eastAsia="仿宋" w:cs="仿宋"/>
                <w:color w:val="000000"/>
                <w:sz w:val="32"/>
                <w:szCs w:val="32"/>
                <w:bdr w:val="none" w:color="auto" w:sz="0" w:space="0"/>
              </w:rPr>
              <w:t>5.金鸡百花微电影节</w:t>
            </w:r>
          </w:p>
        </w:tc>
      </w:tr>
    </w:tbl>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shd w:val="clear" w:fill="FFFFFF"/>
        </w:rPr>
        <w:t>附件：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51DE8"/>
    <w:rsid w:val="55851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2021-03-17T11:50:00Z</dcterms:created>
  <dc:creator>蔡宣传</dc:creator>
  <cp:lastModifiedBy>蔡宣传</cp:lastModifiedBy>
  <dcterms:modified xsi:type="dcterms:W3CDTF">2021-03-17T11:51:33Z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